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1" w:rsidRDefault="00B47214">
      <w:pPr>
        <w:ind w:right="-1"/>
        <w:jc w:val="center"/>
      </w:pPr>
      <w:r>
        <w:rPr>
          <w:noProof/>
        </w:rPr>
        <w:drawing>
          <wp:inline distT="0" distB="0" distL="0" distR="0">
            <wp:extent cx="6172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C1" w:rsidRDefault="00716BC1">
      <w:pPr>
        <w:pStyle w:val="1"/>
      </w:pPr>
      <w:r>
        <w:t>РЕСПУБЛИКА  КАРЕЛИЯ</w:t>
      </w:r>
    </w:p>
    <w:p w:rsidR="002676FD" w:rsidRPr="00720BAD" w:rsidRDefault="002676FD" w:rsidP="002676FD">
      <w:pPr>
        <w:jc w:val="center"/>
        <w:rPr>
          <w:b/>
          <w:sz w:val="22"/>
          <w:szCs w:val="22"/>
        </w:rPr>
      </w:pPr>
      <w:r w:rsidRPr="00720BAD">
        <w:rPr>
          <w:b/>
          <w:sz w:val="22"/>
          <w:szCs w:val="22"/>
        </w:rPr>
        <w:t>М</w:t>
      </w:r>
      <w:r w:rsidR="00720BAD" w:rsidRPr="00720BAD">
        <w:rPr>
          <w:b/>
          <w:sz w:val="22"/>
          <w:szCs w:val="22"/>
        </w:rPr>
        <w:t>УНИЦИПАЛЬНОЕ ОБРАЗОВАНИЕ</w:t>
      </w:r>
    </w:p>
    <w:p w:rsidR="002676FD" w:rsidRPr="00720BAD" w:rsidRDefault="002676FD" w:rsidP="002676FD">
      <w:pPr>
        <w:jc w:val="center"/>
        <w:rPr>
          <w:b/>
          <w:sz w:val="22"/>
          <w:szCs w:val="22"/>
        </w:rPr>
      </w:pPr>
      <w:r w:rsidRPr="00720BAD">
        <w:rPr>
          <w:b/>
          <w:sz w:val="22"/>
          <w:szCs w:val="22"/>
        </w:rPr>
        <w:t>«К</w:t>
      </w:r>
      <w:r w:rsidR="00720BAD" w:rsidRPr="00720BAD">
        <w:rPr>
          <w:b/>
          <w:sz w:val="22"/>
          <w:szCs w:val="22"/>
        </w:rPr>
        <w:t>АЛЕВАЛЬСКИ НАЦИОНАЛЬНЫЙ РАЙОН</w:t>
      </w:r>
      <w:r w:rsidRPr="00720BAD">
        <w:rPr>
          <w:b/>
          <w:sz w:val="22"/>
          <w:szCs w:val="22"/>
        </w:rPr>
        <w:t>»</w:t>
      </w:r>
    </w:p>
    <w:p w:rsidR="002676FD" w:rsidRPr="002676FD" w:rsidRDefault="002676FD" w:rsidP="002676FD">
      <w:pPr>
        <w:jc w:val="center"/>
        <w:rPr>
          <w:b/>
          <w:sz w:val="28"/>
          <w:szCs w:val="28"/>
        </w:rPr>
      </w:pPr>
    </w:p>
    <w:p w:rsidR="002676FD" w:rsidRPr="00720BAD" w:rsidRDefault="002676FD" w:rsidP="002676FD">
      <w:pPr>
        <w:jc w:val="center"/>
        <w:rPr>
          <w:b/>
          <w:sz w:val="24"/>
          <w:szCs w:val="24"/>
        </w:rPr>
      </w:pPr>
      <w:r w:rsidRPr="00720BAD">
        <w:rPr>
          <w:b/>
          <w:sz w:val="24"/>
          <w:szCs w:val="24"/>
        </w:rPr>
        <w:t>А</w:t>
      </w:r>
      <w:r w:rsidR="00720BAD" w:rsidRPr="00720BAD">
        <w:rPr>
          <w:b/>
          <w:sz w:val="24"/>
          <w:szCs w:val="24"/>
        </w:rPr>
        <w:t>ДМИНИСТРАЦИЯ</w:t>
      </w:r>
    </w:p>
    <w:p w:rsidR="002676FD" w:rsidRPr="00720BAD" w:rsidRDefault="00720BAD" w:rsidP="002676FD">
      <w:pPr>
        <w:jc w:val="center"/>
        <w:rPr>
          <w:b/>
          <w:sz w:val="24"/>
          <w:szCs w:val="24"/>
        </w:rPr>
      </w:pPr>
      <w:r w:rsidRPr="00720BAD">
        <w:rPr>
          <w:b/>
          <w:sz w:val="24"/>
          <w:szCs w:val="24"/>
        </w:rPr>
        <w:t>КАЛЕВАЛЬСКОГО МУНИЦИПАЛЬНОГО РАЙОНА</w:t>
      </w:r>
    </w:p>
    <w:p w:rsidR="00716BC1" w:rsidRDefault="00716BC1">
      <w:pPr>
        <w:ind w:right="-1"/>
        <w:jc w:val="center"/>
        <w:rPr>
          <w:rFonts w:ascii="Arial" w:hAnsi="Arial"/>
        </w:rPr>
      </w:pPr>
    </w:p>
    <w:p w:rsidR="00720BAD" w:rsidRDefault="0077563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563B" w:rsidRDefault="0077563B" w:rsidP="00720BAD">
      <w:pPr>
        <w:ind w:right="-1"/>
        <w:jc w:val="both"/>
        <w:rPr>
          <w:sz w:val="24"/>
          <w:szCs w:val="24"/>
        </w:rPr>
      </w:pPr>
    </w:p>
    <w:p w:rsidR="00720BAD" w:rsidRPr="00091171" w:rsidRDefault="0077563B" w:rsidP="00720BAD">
      <w:pPr>
        <w:ind w:right="-1"/>
        <w:jc w:val="both"/>
        <w:rPr>
          <w:sz w:val="24"/>
          <w:szCs w:val="24"/>
          <w:u w:val="single"/>
        </w:rPr>
      </w:pPr>
      <w:r w:rsidRPr="00091171">
        <w:rPr>
          <w:sz w:val="24"/>
          <w:szCs w:val="24"/>
          <w:u w:val="single"/>
        </w:rPr>
        <w:t>о</w:t>
      </w:r>
      <w:r w:rsidR="00720BAD" w:rsidRPr="00091171">
        <w:rPr>
          <w:sz w:val="24"/>
          <w:szCs w:val="24"/>
          <w:u w:val="single"/>
        </w:rPr>
        <w:t xml:space="preserve">т </w:t>
      </w:r>
      <w:r w:rsidR="00487CA9">
        <w:rPr>
          <w:sz w:val="24"/>
          <w:szCs w:val="24"/>
          <w:u w:val="single"/>
        </w:rPr>
        <w:t>29</w:t>
      </w:r>
      <w:r w:rsidR="006D5A81">
        <w:rPr>
          <w:sz w:val="24"/>
          <w:szCs w:val="24"/>
          <w:u w:val="single"/>
        </w:rPr>
        <w:t>.11</w:t>
      </w:r>
      <w:r w:rsidR="004D7D33">
        <w:rPr>
          <w:sz w:val="24"/>
          <w:szCs w:val="24"/>
          <w:u w:val="single"/>
        </w:rPr>
        <w:t>.</w:t>
      </w:r>
      <w:r w:rsidR="00907315" w:rsidRPr="00221932">
        <w:rPr>
          <w:sz w:val="24"/>
          <w:szCs w:val="24"/>
          <w:u w:val="single"/>
        </w:rPr>
        <w:t>202</w:t>
      </w:r>
      <w:r w:rsidR="005D4992">
        <w:rPr>
          <w:sz w:val="24"/>
          <w:szCs w:val="24"/>
          <w:u w:val="single"/>
        </w:rPr>
        <w:t>2</w:t>
      </w:r>
      <w:r w:rsidR="00091171" w:rsidRPr="00221932">
        <w:rPr>
          <w:sz w:val="24"/>
          <w:szCs w:val="24"/>
          <w:u w:val="single"/>
        </w:rPr>
        <w:t xml:space="preserve">г. № </w:t>
      </w:r>
      <w:r w:rsidR="00487CA9">
        <w:rPr>
          <w:sz w:val="24"/>
          <w:szCs w:val="24"/>
          <w:u w:val="single"/>
        </w:rPr>
        <w:t>569</w:t>
      </w:r>
    </w:p>
    <w:p w:rsidR="00720BAD" w:rsidRDefault="00720BAD" w:rsidP="00720BAD">
      <w:pPr>
        <w:ind w:right="-1"/>
        <w:jc w:val="both"/>
      </w:pPr>
      <w:r w:rsidRPr="00720BAD">
        <w:t>п.Калевала</w:t>
      </w:r>
    </w:p>
    <w:p w:rsidR="00720BAD" w:rsidRDefault="00720BAD" w:rsidP="00720BAD">
      <w:pPr>
        <w:ind w:right="-1"/>
        <w:jc w:val="both"/>
      </w:pPr>
    </w:p>
    <w:tbl>
      <w:tblPr>
        <w:tblW w:w="4845" w:type="dxa"/>
        <w:tblInd w:w="-34" w:type="dxa"/>
        <w:tblLook w:val="0000"/>
      </w:tblPr>
      <w:tblGrid>
        <w:gridCol w:w="4845"/>
      </w:tblGrid>
      <w:tr w:rsidR="00E136F3" w:rsidTr="00333834">
        <w:trPr>
          <w:trHeight w:val="410"/>
        </w:trPr>
        <w:tc>
          <w:tcPr>
            <w:tcW w:w="4845" w:type="dxa"/>
          </w:tcPr>
          <w:p w:rsidR="006D5A81" w:rsidRPr="006D5A81" w:rsidRDefault="006D5A81" w:rsidP="006D5A81">
            <w:pPr>
              <w:jc w:val="both"/>
              <w:rPr>
                <w:sz w:val="24"/>
                <w:szCs w:val="24"/>
              </w:rPr>
            </w:pPr>
            <w:r w:rsidRPr="006D5A81">
              <w:rPr>
                <w:sz w:val="24"/>
                <w:szCs w:val="24"/>
              </w:rPr>
              <w:t xml:space="preserve">Об утверждении Порядка формирования и ведения реестра источников доходов бюджета </w:t>
            </w:r>
            <w:r w:rsidR="00487CA9">
              <w:rPr>
                <w:sz w:val="24"/>
                <w:szCs w:val="24"/>
              </w:rPr>
              <w:t>муниципального образования «Калевальский национальный район»</w:t>
            </w:r>
          </w:p>
          <w:p w:rsidR="00E136F3" w:rsidRDefault="00E136F3" w:rsidP="005848E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EA0" w:rsidRDefault="00C51EA0" w:rsidP="005848E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EA0" w:rsidRDefault="00C51EA0" w:rsidP="00584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664E9" w:rsidRPr="0071103A" w:rsidRDefault="008664E9" w:rsidP="007801E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1103A">
        <w:rPr>
          <w:sz w:val="24"/>
          <w:szCs w:val="24"/>
        </w:rPr>
        <w:t>В соответствии со статьей 47.1 Бюджетного кодекса Российской Федерации,</w:t>
      </w:r>
      <w:r w:rsidR="00AB280A" w:rsidRPr="00AB280A">
        <w:rPr>
          <w:color w:val="333333"/>
          <w:szCs w:val="24"/>
        </w:rPr>
        <w:t xml:space="preserve"> </w:t>
      </w:r>
      <w:r w:rsidR="00AB280A">
        <w:rPr>
          <w:color w:val="333333"/>
          <w:szCs w:val="24"/>
        </w:rPr>
        <w:t>Постановлением Правительства Российской Федерации от 31.08.2016 года №868 «О порядке формирования и ведения перечня источников доходов Российской Федерации»</w:t>
      </w:r>
    </w:p>
    <w:p w:rsidR="00E136F3" w:rsidRPr="000E2D85" w:rsidRDefault="00E136F3" w:rsidP="007801EE">
      <w:pPr>
        <w:ind w:right="-1"/>
        <w:jc w:val="center"/>
        <w:rPr>
          <w:b/>
          <w:sz w:val="24"/>
          <w:szCs w:val="24"/>
        </w:rPr>
      </w:pPr>
      <w:r w:rsidRPr="000E2D85"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:rsidR="00E136F3" w:rsidRPr="000E2D85" w:rsidRDefault="00E136F3" w:rsidP="000E2D85">
      <w:pPr>
        <w:shd w:val="clear" w:color="auto" w:fill="FFFFFF"/>
        <w:jc w:val="both"/>
        <w:rPr>
          <w:color w:val="052635"/>
          <w:sz w:val="24"/>
          <w:szCs w:val="24"/>
        </w:rPr>
      </w:pPr>
    </w:p>
    <w:p w:rsidR="007801EE" w:rsidRPr="007801EE" w:rsidRDefault="005848EA" w:rsidP="007801EE">
      <w:pPr>
        <w:pStyle w:val="21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274" w:lineRule="exact"/>
        <w:jc w:val="both"/>
        <w:rPr>
          <w:rStyle w:val="2"/>
          <w:sz w:val="24"/>
          <w:szCs w:val="24"/>
        </w:rPr>
      </w:pPr>
      <w:r w:rsidRPr="000E2D85">
        <w:rPr>
          <w:rStyle w:val="2"/>
          <w:color w:val="000000"/>
          <w:sz w:val="24"/>
          <w:szCs w:val="24"/>
        </w:rPr>
        <w:t xml:space="preserve">Утвердить Порядок </w:t>
      </w:r>
      <w:r w:rsidR="008664E9" w:rsidRPr="006D5A81">
        <w:rPr>
          <w:sz w:val="24"/>
          <w:szCs w:val="24"/>
        </w:rPr>
        <w:t xml:space="preserve">формирования и ведения реестра источников доходов бюджета </w:t>
      </w:r>
      <w:r w:rsidR="00CF674F">
        <w:rPr>
          <w:sz w:val="24"/>
          <w:szCs w:val="24"/>
        </w:rPr>
        <w:t>м</w:t>
      </w:r>
      <w:r w:rsidR="00487CA9">
        <w:rPr>
          <w:sz w:val="24"/>
          <w:szCs w:val="24"/>
        </w:rPr>
        <w:t>униципального образования «Калевальский национальный район»</w:t>
      </w:r>
      <w:r w:rsidRPr="000E2D85">
        <w:rPr>
          <w:rStyle w:val="2"/>
          <w:color w:val="000000"/>
          <w:sz w:val="24"/>
          <w:szCs w:val="24"/>
        </w:rPr>
        <w:t>согласно приложению к настоящему постановлению.</w:t>
      </w:r>
    </w:p>
    <w:p w:rsidR="007801EE" w:rsidRPr="007801EE" w:rsidRDefault="00EA3DFB" w:rsidP="007801EE">
      <w:pPr>
        <w:pStyle w:val="21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274" w:lineRule="exact"/>
        <w:jc w:val="both"/>
        <w:rPr>
          <w:sz w:val="24"/>
          <w:szCs w:val="24"/>
          <w:shd w:val="clear" w:color="auto" w:fill="FFFFFF"/>
        </w:rPr>
      </w:pPr>
      <w:r w:rsidRPr="007801EE">
        <w:rPr>
          <w:sz w:val="24"/>
          <w:szCs w:val="24"/>
        </w:rPr>
        <w:t xml:space="preserve">Настоящее постановление подлежит обязательному официальному опубликованию (обнародованию) в официальном информационном бюллетене «Вестник </w:t>
      </w:r>
      <w:r w:rsidR="00020FAA">
        <w:rPr>
          <w:sz w:val="24"/>
          <w:szCs w:val="24"/>
        </w:rPr>
        <w:t>Муниципального образования Калевальский национальный район</w:t>
      </w:r>
      <w:r w:rsidRPr="007801EE">
        <w:rPr>
          <w:sz w:val="24"/>
          <w:szCs w:val="24"/>
        </w:rPr>
        <w:t>».</w:t>
      </w:r>
    </w:p>
    <w:p w:rsidR="00E136F3" w:rsidRPr="007801EE" w:rsidRDefault="003F4800" w:rsidP="007801EE">
      <w:pPr>
        <w:pStyle w:val="21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274" w:lineRule="exact"/>
        <w:jc w:val="both"/>
        <w:rPr>
          <w:sz w:val="24"/>
          <w:szCs w:val="24"/>
          <w:shd w:val="clear" w:color="auto" w:fill="FFFFFF"/>
        </w:rPr>
      </w:pPr>
      <w:r w:rsidRPr="007801EE">
        <w:rPr>
          <w:sz w:val="24"/>
          <w:szCs w:val="24"/>
        </w:rPr>
        <w:t>К</w:t>
      </w:r>
      <w:r w:rsidR="00E136F3" w:rsidRPr="007801EE">
        <w:rPr>
          <w:sz w:val="24"/>
          <w:szCs w:val="24"/>
        </w:rPr>
        <w:t xml:space="preserve">онтроль </w:t>
      </w:r>
      <w:r w:rsidR="00EA3DFB" w:rsidRPr="007801EE">
        <w:rPr>
          <w:sz w:val="24"/>
          <w:szCs w:val="24"/>
        </w:rPr>
        <w:t>исполнения</w:t>
      </w:r>
      <w:r w:rsidR="00E136F3" w:rsidRPr="007801EE">
        <w:rPr>
          <w:sz w:val="24"/>
          <w:szCs w:val="24"/>
        </w:rPr>
        <w:t xml:space="preserve"> настоящего постановления возложить на Финансовое управление </w:t>
      </w:r>
      <w:r w:rsidRPr="007801EE">
        <w:rPr>
          <w:sz w:val="24"/>
          <w:szCs w:val="24"/>
        </w:rPr>
        <w:t xml:space="preserve">Калевальского </w:t>
      </w:r>
      <w:r w:rsidR="00E136F3" w:rsidRPr="007801EE">
        <w:rPr>
          <w:sz w:val="24"/>
          <w:szCs w:val="24"/>
        </w:rPr>
        <w:t>муниципального района (</w:t>
      </w:r>
      <w:r w:rsidRPr="007801EE">
        <w:rPr>
          <w:sz w:val="24"/>
          <w:szCs w:val="24"/>
        </w:rPr>
        <w:t>Фёдорову Н.П.</w:t>
      </w:r>
      <w:r w:rsidR="00E136F3" w:rsidRPr="007801EE">
        <w:rPr>
          <w:sz w:val="24"/>
          <w:szCs w:val="24"/>
        </w:rPr>
        <w:t>). </w:t>
      </w:r>
    </w:p>
    <w:p w:rsidR="00E136F3" w:rsidRPr="007801EE" w:rsidRDefault="00E136F3" w:rsidP="00E136F3">
      <w:pPr>
        <w:shd w:val="clear" w:color="auto" w:fill="FFFFFF"/>
        <w:jc w:val="both"/>
        <w:rPr>
          <w:sz w:val="24"/>
          <w:szCs w:val="24"/>
        </w:rPr>
      </w:pPr>
    </w:p>
    <w:p w:rsidR="00E136F3" w:rsidRPr="007801EE" w:rsidRDefault="00E136F3" w:rsidP="00E136F3">
      <w:pPr>
        <w:shd w:val="clear" w:color="auto" w:fill="FFFFFF"/>
        <w:jc w:val="both"/>
        <w:rPr>
          <w:sz w:val="24"/>
          <w:szCs w:val="24"/>
        </w:rPr>
      </w:pPr>
    </w:p>
    <w:p w:rsidR="00E136F3" w:rsidRPr="007801EE" w:rsidRDefault="00A468C0" w:rsidP="00E136F3">
      <w:pPr>
        <w:shd w:val="clear" w:color="auto" w:fill="FFFFFF"/>
        <w:jc w:val="both"/>
        <w:rPr>
          <w:sz w:val="24"/>
          <w:szCs w:val="24"/>
        </w:rPr>
      </w:pPr>
      <w:r w:rsidRPr="007801EE">
        <w:rPr>
          <w:sz w:val="24"/>
          <w:szCs w:val="24"/>
        </w:rPr>
        <w:t>Исполняющий обязанности</w:t>
      </w:r>
      <w:r w:rsidR="00D95EF1" w:rsidRPr="007801EE">
        <w:rPr>
          <w:sz w:val="24"/>
          <w:szCs w:val="24"/>
        </w:rPr>
        <w:t xml:space="preserve"> Главы</w:t>
      </w:r>
      <w:r w:rsidR="00E136F3" w:rsidRPr="007801EE">
        <w:rPr>
          <w:sz w:val="24"/>
          <w:szCs w:val="24"/>
        </w:rPr>
        <w:t xml:space="preserve"> Администрации </w:t>
      </w:r>
    </w:p>
    <w:p w:rsidR="00E136F3" w:rsidRPr="007801EE" w:rsidRDefault="00E136F3" w:rsidP="00E136F3">
      <w:pPr>
        <w:shd w:val="clear" w:color="auto" w:fill="FFFFFF"/>
        <w:jc w:val="both"/>
        <w:rPr>
          <w:sz w:val="24"/>
          <w:szCs w:val="24"/>
        </w:rPr>
      </w:pPr>
      <w:r w:rsidRPr="007801EE">
        <w:rPr>
          <w:sz w:val="24"/>
          <w:szCs w:val="24"/>
        </w:rPr>
        <w:t xml:space="preserve">Калевальского муниципального района:   </w:t>
      </w:r>
      <w:r w:rsidR="00D95EF1" w:rsidRPr="007801EE">
        <w:rPr>
          <w:sz w:val="24"/>
          <w:szCs w:val="24"/>
        </w:rPr>
        <w:t>Ю.В.Кононова</w:t>
      </w:r>
    </w:p>
    <w:p w:rsidR="00E136F3" w:rsidRPr="007801EE" w:rsidRDefault="00E136F3" w:rsidP="00E136F3">
      <w:pPr>
        <w:shd w:val="clear" w:color="auto" w:fill="FFFFFF"/>
        <w:jc w:val="both"/>
        <w:rPr>
          <w:sz w:val="24"/>
          <w:szCs w:val="24"/>
        </w:rPr>
      </w:pPr>
    </w:p>
    <w:p w:rsidR="004D7D33" w:rsidRPr="007801EE" w:rsidRDefault="004D7D33" w:rsidP="00E136F3">
      <w:pPr>
        <w:shd w:val="clear" w:color="auto" w:fill="FFFFFF"/>
        <w:jc w:val="both"/>
      </w:pPr>
    </w:p>
    <w:p w:rsidR="004D7D33" w:rsidRPr="007801EE" w:rsidRDefault="004D7D33" w:rsidP="00E136F3">
      <w:pPr>
        <w:shd w:val="clear" w:color="auto" w:fill="FFFFFF"/>
        <w:jc w:val="both"/>
      </w:pPr>
    </w:p>
    <w:p w:rsidR="004D7D33" w:rsidRPr="007801EE" w:rsidRDefault="004D7D33" w:rsidP="00E136F3">
      <w:pPr>
        <w:shd w:val="clear" w:color="auto" w:fill="FFFFFF"/>
        <w:jc w:val="both"/>
      </w:pPr>
    </w:p>
    <w:p w:rsidR="004D7D33" w:rsidRPr="007801EE" w:rsidRDefault="004D7D33" w:rsidP="00E136F3">
      <w:pPr>
        <w:shd w:val="clear" w:color="auto" w:fill="FFFFFF"/>
        <w:jc w:val="both"/>
      </w:pPr>
    </w:p>
    <w:p w:rsidR="004D7D33" w:rsidRPr="007801EE" w:rsidRDefault="004D7D33" w:rsidP="00E136F3">
      <w:pPr>
        <w:shd w:val="clear" w:color="auto" w:fill="FFFFFF"/>
        <w:jc w:val="both"/>
      </w:pPr>
    </w:p>
    <w:p w:rsidR="004D7D33" w:rsidRPr="007801EE" w:rsidRDefault="004D7D33" w:rsidP="00E136F3">
      <w:pPr>
        <w:shd w:val="clear" w:color="auto" w:fill="FFFFFF"/>
        <w:jc w:val="both"/>
      </w:pPr>
    </w:p>
    <w:p w:rsidR="008664E9" w:rsidRPr="007801EE" w:rsidRDefault="00131392" w:rsidP="00E136F3">
      <w:pPr>
        <w:shd w:val="clear" w:color="auto" w:fill="FFFFFF"/>
        <w:jc w:val="both"/>
      </w:pPr>
      <w:r w:rsidRPr="007801EE">
        <w:t>Рассылка: Дело-1; ФУ-1;</w:t>
      </w:r>
    </w:p>
    <w:p w:rsidR="00E136F3" w:rsidRPr="007801EE" w:rsidRDefault="004D7D33" w:rsidP="00E136F3">
      <w:pPr>
        <w:shd w:val="clear" w:color="auto" w:fill="FFFFFF"/>
        <w:jc w:val="both"/>
      </w:pPr>
      <w:r w:rsidRPr="007801EE">
        <w:t xml:space="preserve">Исп.: </w:t>
      </w:r>
      <w:r w:rsidR="000E2D85" w:rsidRPr="007801EE">
        <w:t>Артемова Д.</w:t>
      </w:r>
      <w:proofErr w:type="gramStart"/>
      <w:r w:rsidR="000E2D85" w:rsidRPr="007801EE">
        <w:t>В</w:t>
      </w:r>
      <w:proofErr w:type="gramEnd"/>
    </w:p>
    <w:p w:rsidR="00734DDA" w:rsidRDefault="00734DDA" w:rsidP="00E136F3">
      <w:pPr>
        <w:shd w:val="clear" w:color="auto" w:fill="FFFFFF"/>
        <w:jc w:val="both"/>
        <w:rPr>
          <w:color w:val="052635"/>
        </w:rPr>
      </w:pPr>
    </w:p>
    <w:p w:rsidR="007801EE" w:rsidRDefault="007801EE" w:rsidP="007801EE">
      <w:pPr>
        <w:pStyle w:val="a4"/>
        <w:spacing w:line="240" w:lineRule="auto"/>
        <w:ind w:left="567" w:right="57"/>
        <w:jc w:val="center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7801EE">
      <w:pPr>
        <w:pStyle w:val="a4"/>
        <w:spacing w:line="240" w:lineRule="auto"/>
        <w:ind w:left="567" w:right="57"/>
        <w:jc w:val="center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7801EE" w:rsidRDefault="007801EE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</w:p>
    <w:p w:rsidR="004F2260" w:rsidRDefault="004F2260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</w:t>
      </w:r>
    </w:p>
    <w:p w:rsidR="00AB280A" w:rsidRDefault="004F2260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4F2260" w:rsidRDefault="004F2260" w:rsidP="004D7D33">
      <w:pPr>
        <w:pStyle w:val="a4"/>
        <w:spacing w:line="240" w:lineRule="auto"/>
        <w:ind w:left="567"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Калевальского муниципального района</w:t>
      </w:r>
    </w:p>
    <w:p w:rsidR="00AB280A" w:rsidRPr="00AB280A" w:rsidRDefault="004F2260" w:rsidP="004F2260">
      <w:pPr>
        <w:pStyle w:val="a4"/>
        <w:spacing w:line="240" w:lineRule="auto"/>
        <w:ind w:left="567" w:right="57"/>
        <w:jc w:val="right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№569 от 29.11.2022 г</w:t>
      </w:r>
    </w:p>
    <w:p w:rsidR="00AB280A" w:rsidRPr="00AB280A" w:rsidRDefault="00AB280A" w:rsidP="00AB280A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  <w:sz w:val="24"/>
          <w:szCs w:val="24"/>
        </w:rPr>
      </w:pPr>
      <w:r w:rsidRPr="00AB280A">
        <w:rPr>
          <w:b/>
          <w:bCs/>
          <w:sz w:val="24"/>
          <w:szCs w:val="24"/>
        </w:rPr>
        <w:t>Порядок</w:t>
      </w:r>
    </w:p>
    <w:p w:rsidR="00AB280A" w:rsidRDefault="00AB280A" w:rsidP="00AB280A">
      <w:pPr>
        <w:widowControl w:val="0"/>
        <w:tabs>
          <w:tab w:val="left" w:pos="1560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AB280A">
        <w:rPr>
          <w:b/>
          <w:bCs/>
          <w:sz w:val="24"/>
          <w:szCs w:val="24"/>
        </w:rPr>
        <w:t xml:space="preserve">      формирования и ведения </w:t>
      </w:r>
      <w:proofErr w:type="gramStart"/>
      <w:r w:rsidRPr="00AB280A">
        <w:rPr>
          <w:b/>
          <w:bCs/>
          <w:sz w:val="24"/>
          <w:szCs w:val="24"/>
        </w:rPr>
        <w:t xml:space="preserve">реестра источников доходов </w:t>
      </w:r>
      <w:r w:rsidRPr="00AB280A">
        <w:rPr>
          <w:b/>
          <w:sz w:val="24"/>
          <w:szCs w:val="24"/>
        </w:rPr>
        <w:t>бюджета муниципального образования</w:t>
      </w:r>
      <w:proofErr w:type="gramEnd"/>
      <w:r w:rsidRPr="00AB28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Калевальский национальный район</w:t>
      </w:r>
    </w:p>
    <w:p w:rsidR="00020FAA" w:rsidRPr="00AB280A" w:rsidRDefault="00020FAA" w:rsidP="00AB280A">
      <w:pPr>
        <w:widowControl w:val="0"/>
        <w:tabs>
          <w:tab w:val="left" w:pos="1560"/>
        </w:tabs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020FAA" w:rsidRPr="00020FAA" w:rsidRDefault="00AB280A" w:rsidP="00020FA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b/>
          <w:sz w:val="24"/>
          <w:szCs w:val="24"/>
        </w:rPr>
      </w:pPr>
      <w:r w:rsidRPr="00AB280A">
        <w:rPr>
          <w:sz w:val="24"/>
          <w:szCs w:val="24"/>
        </w:rPr>
        <w:t>Настоящий Порядок разработан в соответствии с пунктом 7 статьи 47.1 Бюджетного кодекса Российской Федерации, постановлением Правительства Российской Федерации от 31.08.2016г. № 868 «О порядке формирования и ведения перечня доходов Российской Федерации» и определяет состав информации, подлежащей включению в реестр источников доходов бюджета муниципального образования Калевальский национальный райо</w:t>
      </w:r>
      <w:proofErr w:type="gramStart"/>
      <w:r w:rsidRPr="00AB280A">
        <w:rPr>
          <w:sz w:val="24"/>
          <w:szCs w:val="24"/>
        </w:rPr>
        <w:t>н(</w:t>
      </w:r>
      <w:proofErr w:type="gramEnd"/>
      <w:r w:rsidRPr="00AB280A">
        <w:rPr>
          <w:sz w:val="24"/>
          <w:szCs w:val="24"/>
        </w:rPr>
        <w:t>далее - реестр источников доходов бюджета), а также порядок ведения реестра источников доходов бюджета.</w:t>
      </w:r>
    </w:p>
    <w:p w:rsidR="00083517" w:rsidRPr="00083517" w:rsidRDefault="00020FAA" w:rsidP="000118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20FAA">
        <w:rPr>
          <w:b/>
          <w:sz w:val="24"/>
          <w:szCs w:val="24"/>
        </w:rPr>
        <w:t xml:space="preserve"> </w:t>
      </w:r>
      <w:r w:rsidR="00083517" w:rsidRPr="00083517">
        <w:rPr>
          <w:sz w:val="24"/>
          <w:szCs w:val="24"/>
        </w:rPr>
        <w:t xml:space="preserve"> В целях настоящего Порядка применяются следующие понятия и термины:</w:t>
      </w:r>
      <w:r>
        <w:rPr>
          <w:sz w:val="24"/>
          <w:szCs w:val="24"/>
        </w:rPr>
        <w:t xml:space="preserve"> </w:t>
      </w:r>
      <w:r w:rsidR="00083517" w:rsidRPr="00083517">
        <w:rPr>
          <w:sz w:val="24"/>
          <w:szCs w:val="24"/>
        </w:rPr>
        <w:t>реестр источников доходов бюджета - свод информации о доходах бюджета</w:t>
      </w:r>
      <w:r>
        <w:rPr>
          <w:sz w:val="24"/>
          <w:szCs w:val="24"/>
        </w:rPr>
        <w:t xml:space="preserve"> Калевальского муниципального района</w:t>
      </w:r>
      <w:r w:rsidR="00083517" w:rsidRPr="00083517">
        <w:rPr>
          <w:sz w:val="24"/>
          <w:szCs w:val="24"/>
        </w:rPr>
        <w:t xml:space="preserve"> по источникам доходов, формируемой в процессе</w:t>
      </w:r>
      <w:r>
        <w:rPr>
          <w:sz w:val="24"/>
          <w:szCs w:val="24"/>
        </w:rPr>
        <w:t xml:space="preserve"> </w:t>
      </w:r>
      <w:r w:rsidR="00083517" w:rsidRPr="00083517">
        <w:rPr>
          <w:sz w:val="24"/>
          <w:szCs w:val="24"/>
        </w:rPr>
        <w:t>составления, утверждения и исполнения бюджета, на основании перечня источников</w:t>
      </w:r>
      <w:r w:rsidR="0001186D">
        <w:rPr>
          <w:sz w:val="24"/>
          <w:szCs w:val="24"/>
        </w:rPr>
        <w:t xml:space="preserve"> </w:t>
      </w:r>
      <w:r w:rsidR="00083517" w:rsidRPr="00083517">
        <w:rPr>
          <w:sz w:val="24"/>
          <w:szCs w:val="24"/>
        </w:rPr>
        <w:t>доходов Российской Федерации;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gramStart"/>
      <w:r w:rsidRPr="00083517">
        <w:rPr>
          <w:sz w:val="24"/>
          <w:szCs w:val="24"/>
        </w:rPr>
        <w:t>перечень источников доходов Российской Федерации - свод (перечень) федеральных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налогов и сборов, региональных и местных налогов, страховых взносов на обязательное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социальное страхование, иных обязательных платежей, других поступлений, являющихся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источниками формирования доходов бюджетов бюджетной системы Российской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Федерации, с указанием правовых оснований их возникновения, порядка расчета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(размеры, ставки, льготы) и иных характеристик источников доходов бюджетов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бюджетной системы Российской Федерации, определяемых</w:t>
      </w:r>
      <w:r w:rsidR="00020FA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порядком формирования и</w:t>
      </w:r>
      <w:proofErr w:type="gramEnd"/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ведения перечня источников доходов Российской Федерации.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3. Реестр источников доходов бюджета формируется и ведется как единый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информационный ресурс, в котором отражаются бюджетные данные на этапах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составления, утверждения и исполнения решения Совета </w:t>
      </w:r>
      <w:r w:rsidR="00020FAA">
        <w:rPr>
          <w:sz w:val="24"/>
          <w:szCs w:val="24"/>
        </w:rPr>
        <w:t>Калевальского муниципального района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 бюджете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по источникам доходов бюджета и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соответствующим им группам источников доходов бюджетов, включенным в перечень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источников доходов Российской Федерации.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4. Реестр источников доходов бюджета формируется и ведется в электронной форме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в государственной информационной системе "Бюджетное планирование" (далее -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информационная система) с использованием усиленных квалифицированных электронных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подписей лиц, уполномоченных действовать от имени </w:t>
      </w:r>
      <w:proofErr w:type="gramStart"/>
      <w:r w:rsidRPr="00083517">
        <w:rPr>
          <w:sz w:val="24"/>
          <w:szCs w:val="24"/>
        </w:rPr>
        <w:t>участников процесса ведения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Реестра источников доходов</w:t>
      </w:r>
      <w:proofErr w:type="gramEnd"/>
      <w:r w:rsidRPr="00083517">
        <w:rPr>
          <w:sz w:val="24"/>
          <w:szCs w:val="24"/>
        </w:rPr>
        <w:t xml:space="preserve"> бюджет.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5. До предоставления Администрации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доступа к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модулю формирования и ведения Реестров источников доходов бюджета в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информационной системе, Реестр источников доходов бюджета ведется в электронном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виде в формате </w:t>
      </w:r>
      <w:proofErr w:type="spellStart"/>
      <w:r w:rsidRPr="00083517">
        <w:rPr>
          <w:sz w:val="24"/>
          <w:szCs w:val="24"/>
        </w:rPr>
        <w:t>Excel</w:t>
      </w:r>
      <w:proofErr w:type="spellEnd"/>
      <w:r w:rsidRPr="00083517">
        <w:rPr>
          <w:sz w:val="24"/>
          <w:szCs w:val="24"/>
        </w:rPr>
        <w:t xml:space="preserve"> по форме согласно приложению No1 к настоящему Порядку.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6. Реестр источников доходов бюджета ведется финансовым управлением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администрации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(далее по тексту финансовое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управление).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7. </w:t>
      </w:r>
      <w:proofErr w:type="gramStart"/>
      <w:r w:rsidRPr="00083517">
        <w:rPr>
          <w:sz w:val="24"/>
          <w:szCs w:val="24"/>
        </w:rPr>
        <w:t>Формирование и ведение реестра источников доходов бюджета осуществляется в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соответствии с Общими требованиями к составу информации, порядку формирования и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ведения реестра источников доходов Российской Федерации, реестра источников доходов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федерального бюджета, реестров источников доходов бюджетов субъектов Российской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Федерации, реестров источников доходов местных бюджетов и реестров источников</w:t>
      </w:r>
      <w:r w:rsidR="00623BF4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доходов бюджетов государственных внебюджетных фондов, утвержденными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постановлением Правительства Российской Федерации от 31 августа 2016 года</w:t>
      </w:r>
      <w:proofErr w:type="gramEnd"/>
      <w:r w:rsidRPr="00083517">
        <w:rPr>
          <w:sz w:val="24"/>
          <w:szCs w:val="24"/>
        </w:rPr>
        <w:t xml:space="preserve"> N 868 «О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gramStart"/>
      <w:r w:rsidRPr="00083517">
        <w:rPr>
          <w:sz w:val="24"/>
          <w:szCs w:val="24"/>
        </w:rPr>
        <w:t>порядке</w:t>
      </w:r>
      <w:proofErr w:type="gramEnd"/>
      <w:r w:rsidRPr="00083517">
        <w:rPr>
          <w:sz w:val="24"/>
          <w:szCs w:val="24"/>
        </w:rPr>
        <w:t xml:space="preserve"> формирования и ведения перечня источников доходов Российской Федерации»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lastRenderedPageBreak/>
        <w:t>(далее – «Общие требования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к составу информации, порядку формирования и ведения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реестра источников доходов»).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8. В реестр источников доходов бюджета в отношении каждого источника дохода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 включается следующая информация: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а) наименование источника дохода бюджета муниципального образования</w:t>
      </w:r>
      <w:r w:rsidR="0001186D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б) код (коды) классификации доходов бюджета муниципального образования</w:t>
      </w:r>
      <w:r w:rsidR="0001186D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, соответствующий источнику дохода бюджета, и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идентификационный код источника дохода бюджета по перечню источников доходов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Российской Федерации;</w:t>
      </w:r>
    </w:p>
    <w:p w:rsidR="0001186D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в) наименование группы источников доходов бюджетов, </w:t>
      </w:r>
      <w:proofErr w:type="gramStart"/>
      <w:r w:rsidRPr="00083517">
        <w:rPr>
          <w:sz w:val="24"/>
          <w:szCs w:val="24"/>
        </w:rPr>
        <w:t>в</w:t>
      </w:r>
      <w:proofErr w:type="gramEnd"/>
      <w:r w:rsidRPr="00083517">
        <w:rPr>
          <w:sz w:val="24"/>
          <w:szCs w:val="24"/>
        </w:rPr>
        <w:t xml:space="preserve"> </w:t>
      </w:r>
      <w:proofErr w:type="gramStart"/>
      <w:r w:rsidRPr="00083517">
        <w:rPr>
          <w:sz w:val="24"/>
          <w:szCs w:val="24"/>
        </w:rPr>
        <w:t>которую</w:t>
      </w:r>
      <w:proofErr w:type="gramEnd"/>
      <w:r w:rsidRPr="00083517">
        <w:rPr>
          <w:sz w:val="24"/>
          <w:szCs w:val="24"/>
        </w:rPr>
        <w:t xml:space="preserve"> входит источник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дохода бюджета 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, и ее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идентификационный код по перечню источников доходов Российской Федерации;</w:t>
      </w:r>
      <w:r w:rsidR="0001186D">
        <w:rPr>
          <w:sz w:val="24"/>
          <w:szCs w:val="24"/>
        </w:rPr>
        <w:t xml:space="preserve"> 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г) информация о публично-правовом образовании, в доход бюджета которого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зачисляются платежи, являющиеся источником 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spellStart"/>
      <w:r w:rsidRPr="00083517">
        <w:rPr>
          <w:sz w:val="24"/>
          <w:szCs w:val="24"/>
        </w:rPr>
        <w:t>д</w:t>
      </w:r>
      <w:proofErr w:type="spellEnd"/>
      <w:r w:rsidRPr="00083517">
        <w:rPr>
          <w:sz w:val="24"/>
          <w:szCs w:val="24"/>
        </w:rPr>
        <w:t>) информация об органах местного самоуправления, казенных учреждениях, иных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организациях, осуществляющих бюджетные полномочия главных администраторов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доходов бюджета 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е) показатели прогноза доходов бюджета муниципального образования</w:t>
      </w:r>
      <w:r w:rsidR="0001186D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по коду классификации доходов бюджета,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бюджета, сформированные в целях составления и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утверждения решения Совета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«О бюджете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;</w:t>
      </w:r>
    </w:p>
    <w:p w:rsidR="00083517" w:rsidRPr="00083517" w:rsidRDefault="00083517" w:rsidP="0001186D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ж) показатели прогноза доходов бюджета муниципального образования</w:t>
      </w:r>
      <w:r w:rsidR="0001186D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по коду классификации доходов бюджета,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бюджета, принимающие значения прогнозируемого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общего объема доходов бюджета в соответствии с решением Совета </w:t>
      </w:r>
      <w:r w:rsidR="0001186D">
        <w:rPr>
          <w:sz w:val="24"/>
          <w:szCs w:val="24"/>
        </w:rPr>
        <w:t>Калевальского муниципального района</w:t>
      </w:r>
      <w:proofErr w:type="gramStart"/>
      <w:r w:rsidRPr="00083517">
        <w:rPr>
          <w:sz w:val="24"/>
          <w:szCs w:val="24"/>
        </w:rPr>
        <w:t>«О</w:t>
      </w:r>
      <w:proofErr w:type="gramEnd"/>
      <w:r w:rsidRPr="00083517">
        <w:rPr>
          <w:sz w:val="24"/>
          <w:szCs w:val="24"/>
        </w:rPr>
        <w:t xml:space="preserve"> бюджете муниципального образования «</w:t>
      </w:r>
      <w:r w:rsidR="0001186D">
        <w:rPr>
          <w:sz w:val="24"/>
          <w:szCs w:val="24"/>
        </w:rPr>
        <w:t>Калевальский национальный район</w:t>
      </w:r>
      <w:r w:rsidRPr="00083517">
        <w:rPr>
          <w:sz w:val="24"/>
          <w:szCs w:val="24"/>
        </w:rPr>
        <w:t>»;</w:t>
      </w:r>
    </w:p>
    <w:p w:rsidR="00083517" w:rsidRPr="00083517" w:rsidRDefault="00083517" w:rsidP="0001186D">
      <w:pPr>
        <w:jc w:val="both"/>
        <w:rPr>
          <w:sz w:val="24"/>
          <w:szCs w:val="24"/>
        </w:rPr>
      </w:pPr>
      <w:proofErr w:type="spellStart"/>
      <w:r w:rsidRPr="00083517">
        <w:rPr>
          <w:sz w:val="24"/>
          <w:szCs w:val="24"/>
        </w:rPr>
        <w:t>з</w:t>
      </w:r>
      <w:proofErr w:type="spellEnd"/>
      <w:r w:rsidRPr="00083517">
        <w:rPr>
          <w:sz w:val="24"/>
          <w:szCs w:val="24"/>
        </w:rPr>
        <w:t>) показатели прогноза доходов бюджета муниципального образования</w:t>
      </w:r>
      <w:r w:rsidR="0001186D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по коду классификации доходов бюджета,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бюджета, принимающие значения прогнозируемого</w:t>
      </w:r>
      <w:r w:rsidR="0001186D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общего объема доходов бюджета в соответствии с решением Совета </w:t>
      </w:r>
      <w:r w:rsidR="0001186D">
        <w:rPr>
          <w:sz w:val="24"/>
          <w:szCs w:val="24"/>
        </w:rPr>
        <w:t>Калевальского муниципального района</w:t>
      </w:r>
      <w:r w:rsidR="0001186D" w:rsidRPr="00083517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«О бюджете 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</w:t>
      </w:r>
      <w:proofErr w:type="gramStart"/>
      <w:r w:rsidRPr="00083517">
        <w:rPr>
          <w:sz w:val="24"/>
          <w:szCs w:val="24"/>
        </w:rPr>
        <w:t>с</w:t>
      </w:r>
      <w:proofErr w:type="gramEnd"/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учетом решения Совета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«О внесении изменений </w:t>
      </w:r>
      <w:proofErr w:type="gramStart"/>
      <w:r w:rsidRPr="00083517">
        <w:rPr>
          <w:sz w:val="24"/>
          <w:szCs w:val="24"/>
        </w:rPr>
        <w:t>в</w:t>
      </w:r>
      <w:proofErr w:type="gramEnd"/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решение о бюджете»;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и) показатели уточненного прогноза доходов бюджета муниципального образования</w:t>
      </w:r>
      <w:r w:rsidR="008F48DA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по коду классификации доходов бюджета,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бюджета, формируемые в рамках составления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сведений для составления и ведения кассового плана исполнения бюджета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к) показатели кассовых поступлений по коду классификации доходов бюджета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 муниципального образования</w:t>
      </w:r>
      <w:r w:rsidR="008F48DA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л) показатели кассовых поступлений по коду классификации доходов бюджета,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соответствующему источнику дохода бюджета муниципального образования</w:t>
      </w:r>
      <w:r w:rsidR="008F48DA">
        <w:rPr>
          <w:sz w:val="24"/>
          <w:szCs w:val="24"/>
        </w:rPr>
        <w:t xml:space="preserve">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, принимающие значения доходов бюджета 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соответствии с решением об исполнении бюджета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>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9. В реестр источников доходов бюджета в отношении платежей, являющихся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источником дохода бюджета, включается следующая информация: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а) наименование источника 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б) код (коды) классификации доходов бюджета, соответствующий источнику дохода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в) идентификационный код по перечню источников доходов Российской Федерации,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gramStart"/>
      <w:r w:rsidRPr="00083517">
        <w:rPr>
          <w:sz w:val="24"/>
          <w:szCs w:val="24"/>
        </w:rPr>
        <w:t>соответствующий</w:t>
      </w:r>
      <w:proofErr w:type="gramEnd"/>
      <w:r w:rsidRPr="00083517">
        <w:rPr>
          <w:sz w:val="24"/>
          <w:szCs w:val="24"/>
        </w:rPr>
        <w:t xml:space="preserve"> источнику 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lastRenderedPageBreak/>
        <w:t>г) информация о публично-правовом образовании, в доход бюджета которого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зачисляются платежи, являющиеся источником 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spellStart"/>
      <w:r w:rsidRPr="00083517">
        <w:rPr>
          <w:sz w:val="24"/>
          <w:szCs w:val="24"/>
        </w:rPr>
        <w:t>д</w:t>
      </w:r>
      <w:proofErr w:type="spellEnd"/>
      <w:r w:rsidRPr="00083517">
        <w:rPr>
          <w:sz w:val="24"/>
          <w:szCs w:val="24"/>
        </w:rPr>
        <w:t>) наименование главного администратора доходов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е) наименование администратора доходов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ж) наименование органов и организаций, осуществляющих оказание муниципальных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услуг (выполнение работ), предусматривающих за их осуществление получение платежа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по источнику дохода бюджета (в случае если указанные органы не осуществляют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бюджетных полномочий администратора доходов бюджета по источнику дохода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бюджета);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spellStart"/>
      <w:r w:rsidRPr="00083517">
        <w:rPr>
          <w:sz w:val="24"/>
          <w:szCs w:val="24"/>
        </w:rPr>
        <w:t>з</w:t>
      </w:r>
      <w:proofErr w:type="spellEnd"/>
      <w:r w:rsidRPr="00083517">
        <w:rPr>
          <w:sz w:val="24"/>
          <w:szCs w:val="24"/>
        </w:rPr>
        <w:t>) суммы по платежам, являющимся источником дохода бюджета, начисленные 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соответствии с бухгалтерским учетом администраторов доходов бюджета по источнику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gramStart"/>
      <w:r w:rsidRPr="00083517">
        <w:rPr>
          <w:sz w:val="24"/>
          <w:szCs w:val="24"/>
        </w:rPr>
        <w:t>и) суммы по платежам, являющимся источником дохода бюджета, информация о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начислении которых направлена администраторами доходов бюджета по источнику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дохода бюджета в Государственную информационную систему о государственных и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муниципальных платежах;</w:t>
      </w:r>
      <w:proofErr w:type="gramEnd"/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к) кассовые поступления от уплаты платежей, являющихся источником дохода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бюджета, в соответствии с бухгалтерским учетом администраторов доходов бюджета по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источнику дохода бюджета;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л) информация об уплате платежей, являющихся источником дохода бюджета,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направленная в Государственную информационную систему о государственных и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муниципальных платежах;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м) информация о количестве оказанных муниципальных услуг (выполненных работ),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иных действий органов государственной власти (государственных органов), органов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местного самоуправления, государственных и муниципальных учреждений, иных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организаций, за которые осуществлена уплата платежей, являющихся источником дохода</w:t>
      </w:r>
      <w:r w:rsidR="00E55238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10. </w:t>
      </w:r>
      <w:proofErr w:type="gramStart"/>
      <w:r w:rsidRPr="00083517">
        <w:rPr>
          <w:sz w:val="24"/>
          <w:szCs w:val="24"/>
        </w:rPr>
        <w:t>В Реестре источников доходов бюджета также формируется консолидированная и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(или) сводная информация по группам источников доходов бюджета по показателям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прогнозов доходов бюджета на этапах составления, утверждения и исполнения бюджета, 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также кассовым поступлениям по доходам бюджета с указанием сведений о группах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источников доходов бюджета на основе перечня источников доходов Российской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Федерации.</w:t>
      </w:r>
      <w:proofErr w:type="gramEnd"/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11. Информация, указанная в подпунктах «а</w:t>
      </w:r>
      <w:proofErr w:type="gramStart"/>
      <w:r w:rsidRPr="00083517">
        <w:rPr>
          <w:sz w:val="24"/>
          <w:szCs w:val="24"/>
        </w:rPr>
        <w:t>»-</w:t>
      </w:r>
      <w:proofErr w:type="gramEnd"/>
      <w:r w:rsidRPr="00083517">
        <w:rPr>
          <w:sz w:val="24"/>
          <w:szCs w:val="24"/>
        </w:rPr>
        <w:t>«</w:t>
      </w:r>
      <w:proofErr w:type="spellStart"/>
      <w:r w:rsidRPr="00083517">
        <w:rPr>
          <w:sz w:val="24"/>
          <w:szCs w:val="24"/>
        </w:rPr>
        <w:t>д</w:t>
      </w:r>
      <w:proofErr w:type="spellEnd"/>
      <w:r w:rsidRPr="00083517">
        <w:rPr>
          <w:sz w:val="24"/>
          <w:szCs w:val="24"/>
        </w:rPr>
        <w:t>» пункта 8 и подпунктах «а»-«ж»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пункта 9 настоящего Порядка, формируется и изменяется на основе перечня источников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доходов Российской Федерации путем обмена данными между государственными и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муниципальными информационными системами управления государственными и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муниципальными финансами, в которых осуществляется формирование и ведение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перечня источников доходов Российской Федерации и реестров источников доходов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бюджетов.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12. </w:t>
      </w:r>
      <w:proofErr w:type="gramStart"/>
      <w:r w:rsidRPr="00083517">
        <w:rPr>
          <w:sz w:val="24"/>
          <w:szCs w:val="24"/>
        </w:rPr>
        <w:t>Информация, указанная в подпунктах «е» и «и» пункта 8 настоящего Порядка,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формируется и ведется на основании прогнозов поступления доходов бюджета;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информация, указанная в подпунктах «ж» и «</w:t>
      </w:r>
      <w:proofErr w:type="spellStart"/>
      <w:r w:rsidRPr="00083517">
        <w:rPr>
          <w:sz w:val="24"/>
          <w:szCs w:val="24"/>
        </w:rPr>
        <w:t>з</w:t>
      </w:r>
      <w:proofErr w:type="spellEnd"/>
      <w:r w:rsidRPr="00083517">
        <w:rPr>
          <w:sz w:val="24"/>
          <w:szCs w:val="24"/>
        </w:rPr>
        <w:t>» пункта 8 настоящего Порядка,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формируется и ведется на основании решения Совета </w:t>
      </w:r>
      <w:r w:rsidR="00020FAA">
        <w:rPr>
          <w:sz w:val="24"/>
          <w:szCs w:val="24"/>
        </w:rPr>
        <w:t>Калевальского муниципального района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 бюджете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на текущий финансовый год и плановый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период.</w:t>
      </w:r>
      <w:proofErr w:type="gramEnd"/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13. Информация, указанная в подпунктах «и» и «л» пункта 9 настоящего Порядка,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формируется и ведется на основании сведений государственной информационной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системы о государственных и муниципальных платежах, получаемых в соответствии с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установленным порядком ведения государственной информационной системы 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государственных и муниципальных платежах.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14. Информация, указанная в подпункте «к» пункта 8 настоящего Порядка,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формируется на основании соответствующих сведений реестра источников доходов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Российской Федерации, формируемого в порядке, установленном Министерством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финансов Российской Федерации.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15. Финансовое управление, обеспечивает включение в реестр источников доходов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бюджета информации, указанной в пунктах 8 и 9 настоящего Порядка, в следующие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сроки: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а) информации, указанной в подпунктах «а» - «</w:t>
      </w:r>
      <w:proofErr w:type="spellStart"/>
      <w:r w:rsidRPr="00083517">
        <w:rPr>
          <w:sz w:val="24"/>
          <w:szCs w:val="24"/>
        </w:rPr>
        <w:t>д</w:t>
      </w:r>
      <w:proofErr w:type="spellEnd"/>
      <w:r w:rsidRPr="00083517">
        <w:rPr>
          <w:sz w:val="24"/>
          <w:szCs w:val="24"/>
        </w:rPr>
        <w:t>» пункта 8 и подпунктах «а» - «ж»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пункта 9 настоящего Порядка, - незамедлительно, но не позднее одного рабочего дня со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дня </w:t>
      </w:r>
      <w:r w:rsidRPr="00083517">
        <w:rPr>
          <w:sz w:val="24"/>
          <w:szCs w:val="24"/>
        </w:rPr>
        <w:lastRenderedPageBreak/>
        <w:t>внесения указанной информации в перечень источников доходов Российской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Федерации, реестр источников доходов Российской Федерации;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б) информации, указанной в подпунктах «ж», «</w:t>
      </w:r>
      <w:proofErr w:type="spellStart"/>
      <w:r w:rsidRPr="00083517">
        <w:rPr>
          <w:sz w:val="24"/>
          <w:szCs w:val="24"/>
        </w:rPr>
        <w:t>з</w:t>
      </w:r>
      <w:proofErr w:type="spellEnd"/>
      <w:r w:rsidRPr="00083517">
        <w:rPr>
          <w:sz w:val="24"/>
          <w:szCs w:val="24"/>
        </w:rPr>
        <w:t>» и «л» пункта 8 настоящего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Порядка, - не позднее 5 рабочих дней со дня принятия или внесения изменений в решение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 бюджете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 xml:space="preserve"> и решения об исполнении бюджета</w:t>
      </w:r>
      <w:r w:rsidR="008F48DA">
        <w:rPr>
          <w:sz w:val="24"/>
          <w:szCs w:val="24"/>
        </w:rPr>
        <w:t xml:space="preserve"> Калевальского муниципального района</w:t>
      </w:r>
      <w:r w:rsidRPr="00083517">
        <w:rPr>
          <w:sz w:val="24"/>
          <w:szCs w:val="24"/>
        </w:rPr>
        <w:t>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в) информации, указанной в подпункте «и» пункта 8 настоящего Порядка, - согласно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Порядку составления и ведения кассового плана исполнения бюджета муниципального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 xml:space="preserve"> - не позднее девятого числа каждого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месяца года;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г) информации, указанной в подпунктах «и» и «л» пункта 9 настоящего Порядка, </w:t>
      </w:r>
      <w:proofErr w:type="gramStart"/>
      <w:r w:rsidRPr="00083517">
        <w:rPr>
          <w:sz w:val="24"/>
          <w:szCs w:val="24"/>
        </w:rPr>
        <w:t>-н</w:t>
      </w:r>
      <w:proofErr w:type="gramEnd"/>
      <w:r w:rsidRPr="00083517">
        <w:rPr>
          <w:sz w:val="24"/>
          <w:szCs w:val="24"/>
        </w:rPr>
        <w:t>езамедлительно, но не позднее одного рабочего дня со дня направления указанной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информации в Государственную информационную систему о государственных и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муниципальных платежах;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proofErr w:type="spellStart"/>
      <w:r w:rsidRPr="00083517">
        <w:rPr>
          <w:sz w:val="24"/>
          <w:szCs w:val="24"/>
        </w:rPr>
        <w:t>д</w:t>
      </w:r>
      <w:proofErr w:type="spellEnd"/>
      <w:r w:rsidRPr="00083517">
        <w:rPr>
          <w:sz w:val="24"/>
          <w:szCs w:val="24"/>
        </w:rPr>
        <w:t>) информации, указанной в подпункте «е</w:t>
      </w:r>
      <w:proofErr w:type="gramStart"/>
      <w:r w:rsidRPr="00083517">
        <w:rPr>
          <w:sz w:val="24"/>
          <w:szCs w:val="24"/>
        </w:rPr>
        <w:t>»п</w:t>
      </w:r>
      <w:proofErr w:type="gramEnd"/>
      <w:r w:rsidRPr="00083517">
        <w:rPr>
          <w:sz w:val="24"/>
          <w:szCs w:val="24"/>
        </w:rPr>
        <w:t>ункта 8 и подпункте «м» пункта 9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настоящего Порядка, - не позднее пяти рабочих дней со дня принятия соответствующих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изменений;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е) информации, указанной в подпункте «к» пункта 8 и подпункте «к» пункта 9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настоящего документа, - в соответствии Порядком составления и ведения кассового плана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исполнения бюджета муниципального образования </w:t>
      </w:r>
      <w:r w:rsidR="00020FAA">
        <w:rPr>
          <w:sz w:val="24"/>
          <w:szCs w:val="24"/>
        </w:rPr>
        <w:t>«Калевальский национальный район»</w:t>
      </w:r>
      <w:r w:rsidRPr="00083517">
        <w:rPr>
          <w:sz w:val="24"/>
          <w:szCs w:val="24"/>
        </w:rPr>
        <w:t>,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но не позднее девятого дня каждого месяца года;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ж) информации, указанной в подпункте «</w:t>
      </w:r>
      <w:proofErr w:type="spellStart"/>
      <w:r w:rsidRPr="00083517">
        <w:rPr>
          <w:sz w:val="24"/>
          <w:szCs w:val="24"/>
        </w:rPr>
        <w:t>з</w:t>
      </w:r>
      <w:proofErr w:type="spellEnd"/>
      <w:r w:rsidRPr="00083517">
        <w:rPr>
          <w:sz w:val="24"/>
          <w:szCs w:val="24"/>
        </w:rPr>
        <w:t>» пункта 9 настоящего документа, -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незамедлительно, но не позднее одного рабочего дня после осуществления начисления.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16. Реестр источников доходов местного бюджета направляется в составе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>документов и материалов, предоставляемых одновременно с проектом решения Совета</w:t>
      </w:r>
    </w:p>
    <w:p w:rsidR="00083517" w:rsidRPr="00083517" w:rsidRDefault="00020FAA" w:rsidP="00020FAA">
      <w:pPr>
        <w:jc w:val="both"/>
        <w:rPr>
          <w:sz w:val="24"/>
          <w:szCs w:val="24"/>
        </w:rPr>
      </w:pPr>
      <w:r>
        <w:rPr>
          <w:sz w:val="24"/>
          <w:szCs w:val="24"/>
        </w:rPr>
        <w:t>Калевальского муниципального района</w:t>
      </w:r>
      <w:r w:rsidR="00083517" w:rsidRPr="00083517">
        <w:rPr>
          <w:sz w:val="24"/>
          <w:szCs w:val="24"/>
        </w:rPr>
        <w:t xml:space="preserve"> «О бюджете муниципального образования</w:t>
      </w:r>
    </w:p>
    <w:p w:rsidR="00083517" w:rsidRPr="00083517" w:rsidRDefault="00020FAA" w:rsidP="00020FAA">
      <w:pPr>
        <w:jc w:val="both"/>
        <w:rPr>
          <w:sz w:val="24"/>
          <w:szCs w:val="24"/>
        </w:rPr>
      </w:pPr>
      <w:r>
        <w:rPr>
          <w:sz w:val="24"/>
          <w:szCs w:val="24"/>
        </w:rPr>
        <w:t>«Калевальский национальный район»</w:t>
      </w:r>
      <w:r w:rsidR="00083517" w:rsidRPr="00083517">
        <w:rPr>
          <w:sz w:val="24"/>
          <w:szCs w:val="24"/>
        </w:rPr>
        <w:t xml:space="preserve"> в представительный орган местного самоуправления </w:t>
      </w:r>
    </w:p>
    <w:p w:rsidR="00083517" w:rsidRPr="00083517" w:rsidRDefault="00083517" w:rsidP="00020FAA">
      <w:pPr>
        <w:jc w:val="both"/>
        <w:rPr>
          <w:sz w:val="24"/>
          <w:szCs w:val="24"/>
        </w:rPr>
      </w:pPr>
      <w:r w:rsidRPr="00083517">
        <w:rPr>
          <w:sz w:val="24"/>
          <w:szCs w:val="24"/>
        </w:rPr>
        <w:t xml:space="preserve">Совет </w:t>
      </w:r>
      <w:r w:rsidR="00020FAA">
        <w:rPr>
          <w:sz w:val="24"/>
          <w:szCs w:val="24"/>
        </w:rPr>
        <w:t>Калевальского муниципального района</w:t>
      </w:r>
      <w:r w:rsidRPr="00083517">
        <w:rPr>
          <w:sz w:val="24"/>
          <w:szCs w:val="24"/>
        </w:rPr>
        <w:t>.</w:t>
      </w:r>
    </w:p>
    <w:p w:rsidR="0071103A" w:rsidRDefault="00083517" w:rsidP="00020FAA">
      <w:pPr>
        <w:jc w:val="both"/>
        <w:rPr>
          <w:rFonts w:ascii="Calibri" w:hAnsi="Calibri"/>
          <w:sz w:val="22"/>
          <w:szCs w:val="22"/>
        </w:rPr>
        <w:sectPr w:rsidR="0071103A" w:rsidSect="007801EE">
          <w:pgSz w:w="11906" w:h="16838"/>
          <w:pgMar w:top="709" w:right="709" w:bottom="709" w:left="1701" w:header="709" w:footer="709" w:gutter="0"/>
          <w:cols w:space="708"/>
          <w:docGrid w:linePitch="360"/>
        </w:sectPr>
      </w:pPr>
      <w:r w:rsidRPr="00083517">
        <w:rPr>
          <w:sz w:val="24"/>
          <w:szCs w:val="24"/>
        </w:rPr>
        <w:t>17. Реестр источников доходов представляется в Министерство финансов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Республики Карелия в соответствии с Порядком предоставления </w:t>
      </w:r>
      <w:proofErr w:type="gramStart"/>
      <w:r w:rsidRPr="00083517">
        <w:rPr>
          <w:sz w:val="24"/>
          <w:szCs w:val="24"/>
        </w:rPr>
        <w:t>реестров источников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>доходов бюджетов муниципальных образований</w:t>
      </w:r>
      <w:proofErr w:type="gramEnd"/>
      <w:r w:rsidRPr="00083517">
        <w:rPr>
          <w:sz w:val="24"/>
          <w:szCs w:val="24"/>
        </w:rPr>
        <w:t xml:space="preserve"> в Республике Карелия, утвержденным</w:t>
      </w:r>
      <w:r w:rsidR="008F48DA">
        <w:rPr>
          <w:sz w:val="24"/>
          <w:szCs w:val="24"/>
        </w:rPr>
        <w:t xml:space="preserve"> </w:t>
      </w:r>
      <w:r w:rsidRPr="00083517">
        <w:rPr>
          <w:sz w:val="24"/>
          <w:szCs w:val="24"/>
        </w:rPr>
        <w:t xml:space="preserve">Постановление Правительства РК от 22.06.2020 </w:t>
      </w:r>
      <w:proofErr w:type="spellStart"/>
      <w:r w:rsidRPr="00083517">
        <w:rPr>
          <w:sz w:val="24"/>
          <w:szCs w:val="24"/>
        </w:rPr>
        <w:t>No</w:t>
      </w:r>
      <w:proofErr w:type="spellEnd"/>
      <w:r w:rsidRPr="00083517">
        <w:rPr>
          <w:sz w:val="24"/>
          <w:szCs w:val="24"/>
        </w:rPr>
        <w:t xml:space="preserve"> 304-П.</w:t>
      </w:r>
    </w:p>
    <w:tbl>
      <w:tblPr>
        <w:tblW w:w="17118" w:type="dxa"/>
        <w:tblInd w:w="-846" w:type="dxa"/>
        <w:tblLayout w:type="fixed"/>
        <w:tblLook w:val="04A0"/>
      </w:tblPr>
      <w:tblGrid>
        <w:gridCol w:w="727"/>
        <w:gridCol w:w="728"/>
        <w:gridCol w:w="142"/>
        <w:gridCol w:w="734"/>
        <w:gridCol w:w="284"/>
        <w:gridCol w:w="446"/>
        <w:gridCol w:w="282"/>
        <w:gridCol w:w="593"/>
        <w:gridCol w:w="141"/>
        <w:gridCol w:w="589"/>
        <w:gridCol w:w="141"/>
        <w:gridCol w:w="589"/>
        <w:gridCol w:w="141"/>
        <w:gridCol w:w="734"/>
        <w:gridCol w:w="776"/>
        <w:gridCol w:w="729"/>
        <w:gridCol w:w="730"/>
        <w:gridCol w:w="104"/>
        <w:gridCol w:w="627"/>
        <w:gridCol w:w="631"/>
        <w:gridCol w:w="584"/>
        <w:gridCol w:w="494"/>
        <w:gridCol w:w="90"/>
        <w:gridCol w:w="731"/>
        <w:gridCol w:w="926"/>
        <w:gridCol w:w="729"/>
        <w:gridCol w:w="590"/>
        <w:gridCol w:w="578"/>
        <w:gridCol w:w="590"/>
        <w:gridCol w:w="578"/>
        <w:gridCol w:w="6"/>
        <w:gridCol w:w="584"/>
        <w:gridCol w:w="770"/>
      </w:tblGrid>
      <w:tr w:rsidR="0071103A" w:rsidTr="00804FB4">
        <w:trPr>
          <w:trHeight w:val="430"/>
        </w:trPr>
        <w:tc>
          <w:tcPr>
            <w:tcW w:w="727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6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9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  <w:hideMark/>
          </w:tcPr>
          <w:p w:rsidR="0071103A" w:rsidRDefault="0071103A" w:rsidP="007110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51" w:type="dxa"/>
            <w:gridSpan w:val="9"/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Порядку формирования </w:t>
            </w:r>
          </w:p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ведения реестра источников доходов бюджета </w:t>
            </w:r>
            <w:r w:rsidR="004D2621" w:rsidRPr="004D2621">
              <w:rPr>
                <w:sz w:val="22"/>
                <w:szCs w:val="22"/>
              </w:rPr>
              <w:t>м</w:t>
            </w:r>
            <w:r w:rsidR="004D2621" w:rsidRPr="004D2621">
              <w:rPr>
                <w:kern w:val="2"/>
                <w:sz w:val="22"/>
                <w:szCs w:val="22"/>
              </w:rPr>
              <w:t>униципального образования «Калевальский национальный район»</w:t>
            </w:r>
          </w:p>
        </w:tc>
      </w:tr>
      <w:tr w:rsidR="0071103A" w:rsidTr="00804FB4">
        <w:trPr>
          <w:trHeight w:val="682"/>
        </w:trPr>
        <w:tc>
          <w:tcPr>
            <w:tcW w:w="17118" w:type="dxa"/>
            <w:gridSpan w:val="33"/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реестра, фрагмента  источников доходов </w:t>
            </w:r>
            <w:r w:rsidRPr="004D2621">
              <w:rPr>
                <w:color w:val="000000"/>
                <w:sz w:val="22"/>
                <w:szCs w:val="22"/>
              </w:rPr>
              <w:t xml:space="preserve">бюджета </w:t>
            </w:r>
            <w:r w:rsidR="004D2621" w:rsidRPr="004D2621">
              <w:rPr>
                <w:sz w:val="22"/>
                <w:szCs w:val="22"/>
              </w:rPr>
              <w:t>м</w:t>
            </w:r>
            <w:r w:rsidR="004D2621" w:rsidRPr="004D2621">
              <w:rPr>
                <w:kern w:val="2"/>
                <w:sz w:val="22"/>
                <w:szCs w:val="22"/>
              </w:rPr>
              <w:t>униципального образования «Калевальский национальный район</w:t>
            </w:r>
            <w:r w:rsidR="004D2621">
              <w:rPr>
                <w:kern w:val="2"/>
                <w:sz w:val="24"/>
                <w:szCs w:val="24"/>
              </w:rPr>
              <w:t>»</w:t>
            </w:r>
          </w:p>
        </w:tc>
      </w:tr>
      <w:tr w:rsidR="0071103A" w:rsidTr="00804FB4">
        <w:trPr>
          <w:trHeight w:val="879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ставки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льготы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органы, осуществляющие взимание источника дохода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 xml:space="preserve">Нормативы распределения в бюджет </w:t>
            </w:r>
            <w:r>
              <w:rPr>
                <w:kern w:val="2"/>
                <w:sz w:val="18"/>
                <w:szCs w:val="18"/>
              </w:rPr>
              <w:t>Калевальского городского поселения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 xml:space="preserve">Объем доходов бюджета </w:t>
            </w:r>
            <w:r>
              <w:rPr>
                <w:kern w:val="2"/>
                <w:sz w:val="18"/>
                <w:szCs w:val="18"/>
              </w:rPr>
              <w:t>Калевальского городского поселения</w:t>
            </w:r>
            <w:r w:rsidRPr="00C86534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71103A" w:rsidTr="00804FB4">
        <w:trPr>
          <w:trHeight w:val="94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отчетный финансовый год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Default="0071103A" w:rsidP="0071103A">
            <w:pPr>
              <w:rPr>
                <w:color w:val="000000"/>
              </w:rPr>
            </w:pPr>
          </w:p>
        </w:tc>
      </w:tr>
      <w:tr w:rsidR="0071103A" w:rsidTr="00804FB4">
        <w:trPr>
          <w:trHeight w:val="1804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запланировано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фактически исполнено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Pr="00C86534" w:rsidRDefault="0071103A" w:rsidP="007110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финансовый год + 1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03A" w:rsidRPr="00C86534" w:rsidRDefault="0071103A" w:rsidP="0071103A">
            <w:pPr>
              <w:jc w:val="center"/>
              <w:rPr>
                <w:color w:val="000000"/>
                <w:sz w:val="18"/>
                <w:szCs w:val="18"/>
              </w:rPr>
            </w:pPr>
            <w:r w:rsidRPr="00C86534">
              <w:rPr>
                <w:color w:val="000000"/>
                <w:sz w:val="18"/>
                <w:szCs w:val="18"/>
              </w:rPr>
              <w:t>финансовый год + 2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3A" w:rsidRDefault="0071103A" w:rsidP="0071103A">
            <w:pPr>
              <w:rPr>
                <w:color w:val="000000"/>
              </w:rPr>
            </w:pPr>
          </w:p>
        </w:tc>
      </w:tr>
      <w:tr w:rsidR="0071103A" w:rsidTr="00804FB4">
        <w:trPr>
          <w:trHeight w:val="25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1103A" w:rsidTr="00804FB4">
        <w:trPr>
          <w:trHeight w:val="25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3A" w:rsidRDefault="0071103A" w:rsidP="007110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E7FF1" w:rsidRPr="007801EE" w:rsidRDefault="002E7FF1" w:rsidP="007801EE">
      <w:pPr>
        <w:tabs>
          <w:tab w:val="left" w:pos="8040"/>
        </w:tabs>
      </w:pPr>
    </w:p>
    <w:sectPr w:rsidR="002E7FF1" w:rsidRPr="007801EE" w:rsidSect="00804FB4">
      <w:pgSz w:w="16838" w:h="11906" w:orient="landscape"/>
      <w:pgMar w:top="1701" w:right="709" w:bottom="709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EFD622E"/>
    <w:multiLevelType w:val="hybridMultilevel"/>
    <w:tmpl w:val="12B05912"/>
    <w:lvl w:ilvl="0" w:tplc="93B63246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A10F6F"/>
    <w:multiLevelType w:val="hybridMultilevel"/>
    <w:tmpl w:val="7214F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C1AE0"/>
    <w:multiLevelType w:val="hybridMultilevel"/>
    <w:tmpl w:val="864C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D7C14"/>
    <w:multiLevelType w:val="hybridMultilevel"/>
    <w:tmpl w:val="BE400EEA"/>
    <w:lvl w:ilvl="0" w:tplc="186064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E9D2D74"/>
    <w:multiLevelType w:val="hybridMultilevel"/>
    <w:tmpl w:val="EC9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D40FA"/>
    <w:rsid w:val="0001186D"/>
    <w:rsid w:val="00020FAA"/>
    <w:rsid w:val="00034DEB"/>
    <w:rsid w:val="000720E4"/>
    <w:rsid w:val="000735AC"/>
    <w:rsid w:val="00083517"/>
    <w:rsid w:val="00091171"/>
    <w:rsid w:val="000A2CF6"/>
    <w:rsid w:val="000E2D85"/>
    <w:rsid w:val="00131392"/>
    <w:rsid w:val="0015507B"/>
    <w:rsid w:val="00170488"/>
    <w:rsid w:val="001B4CAC"/>
    <w:rsid w:val="00221932"/>
    <w:rsid w:val="00261C22"/>
    <w:rsid w:val="002676FD"/>
    <w:rsid w:val="00273B2D"/>
    <w:rsid w:val="0028151A"/>
    <w:rsid w:val="002E3E21"/>
    <w:rsid w:val="002E7FF1"/>
    <w:rsid w:val="00305C9C"/>
    <w:rsid w:val="00317A2A"/>
    <w:rsid w:val="00333834"/>
    <w:rsid w:val="00340068"/>
    <w:rsid w:val="003703CC"/>
    <w:rsid w:val="003F4800"/>
    <w:rsid w:val="00487CA9"/>
    <w:rsid w:val="004B5032"/>
    <w:rsid w:val="004C26C9"/>
    <w:rsid w:val="004D2621"/>
    <w:rsid w:val="004D6CA9"/>
    <w:rsid w:val="004D7D33"/>
    <w:rsid w:val="004F2260"/>
    <w:rsid w:val="005400EB"/>
    <w:rsid w:val="00553D4C"/>
    <w:rsid w:val="005848EA"/>
    <w:rsid w:val="00586CC2"/>
    <w:rsid w:val="005D4992"/>
    <w:rsid w:val="005E1563"/>
    <w:rsid w:val="00623BF4"/>
    <w:rsid w:val="006358F4"/>
    <w:rsid w:val="00656033"/>
    <w:rsid w:val="00690454"/>
    <w:rsid w:val="006C1A93"/>
    <w:rsid w:val="006D5A81"/>
    <w:rsid w:val="00707143"/>
    <w:rsid w:val="0071103A"/>
    <w:rsid w:val="00716BC1"/>
    <w:rsid w:val="00720BAD"/>
    <w:rsid w:val="00734DDA"/>
    <w:rsid w:val="00765E9A"/>
    <w:rsid w:val="0077563B"/>
    <w:rsid w:val="007801EE"/>
    <w:rsid w:val="007B6BC8"/>
    <w:rsid w:val="00804FB4"/>
    <w:rsid w:val="008664E9"/>
    <w:rsid w:val="008F48DA"/>
    <w:rsid w:val="00907315"/>
    <w:rsid w:val="00932B34"/>
    <w:rsid w:val="00940733"/>
    <w:rsid w:val="009645EE"/>
    <w:rsid w:val="00990CF6"/>
    <w:rsid w:val="009D12A5"/>
    <w:rsid w:val="009D189E"/>
    <w:rsid w:val="00A258A7"/>
    <w:rsid w:val="00A468C0"/>
    <w:rsid w:val="00A8716D"/>
    <w:rsid w:val="00AB280A"/>
    <w:rsid w:val="00B47214"/>
    <w:rsid w:val="00B473D4"/>
    <w:rsid w:val="00B643A0"/>
    <w:rsid w:val="00B81ABB"/>
    <w:rsid w:val="00B9001C"/>
    <w:rsid w:val="00B943B4"/>
    <w:rsid w:val="00BD5C44"/>
    <w:rsid w:val="00C30421"/>
    <w:rsid w:val="00C51EA0"/>
    <w:rsid w:val="00C77700"/>
    <w:rsid w:val="00C878F8"/>
    <w:rsid w:val="00CA1739"/>
    <w:rsid w:val="00CF674F"/>
    <w:rsid w:val="00D5764F"/>
    <w:rsid w:val="00D61749"/>
    <w:rsid w:val="00D655E3"/>
    <w:rsid w:val="00D66038"/>
    <w:rsid w:val="00D939E2"/>
    <w:rsid w:val="00D95EF1"/>
    <w:rsid w:val="00DA51BA"/>
    <w:rsid w:val="00DC383E"/>
    <w:rsid w:val="00E00AB1"/>
    <w:rsid w:val="00E136F3"/>
    <w:rsid w:val="00E36D9C"/>
    <w:rsid w:val="00E55238"/>
    <w:rsid w:val="00EA3BA8"/>
    <w:rsid w:val="00EA3DFB"/>
    <w:rsid w:val="00EB6F60"/>
    <w:rsid w:val="00F465CA"/>
    <w:rsid w:val="00F635DC"/>
    <w:rsid w:val="00FC02AE"/>
    <w:rsid w:val="00FC7C71"/>
    <w:rsid w:val="00FD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1C"/>
  </w:style>
  <w:style w:type="paragraph" w:styleId="1">
    <w:name w:val="heading 1"/>
    <w:basedOn w:val="a"/>
    <w:next w:val="a"/>
    <w:qFormat/>
    <w:rsid w:val="00B9001C"/>
    <w:pPr>
      <w:keepNext/>
      <w:spacing w:line="48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7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1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5848E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48EA"/>
    <w:pPr>
      <w:widowControl w:val="0"/>
      <w:shd w:val="clear" w:color="auto" w:fill="FFFFFF"/>
      <w:spacing w:before="900" w:after="360" w:line="240" w:lineRule="atLeast"/>
    </w:pPr>
  </w:style>
  <w:style w:type="character" w:customStyle="1" w:styleId="3">
    <w:name w:val="Основной текст (3)_"/>
    <w:basedOn w:val="a0"/>
    <w:link w:val="30"/>
    <w:uiPriority w:val="99"/>
    <w:locked/>
    <w:rsid w:val="00734DDA"/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734D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4DDA"/>
    <w:pPr>
      <w:widowControl w:val="0"/>
      <w:shd w:val="clear" w:color="auto" w:fill="FFFFFF"/>
      <w:spacing w:line="240" w:lineRule="atLeast"/>
      <w:jc w:val="both"/>
    </w:pPr>
    <w:rPr>
      <w:b/>
      <w:bCs/>
    </w:rPr>
  </w:style>
  <w:style w:type="paragraph" w:customStyle="1" w:styleId="40">
    <w:name w:val="Заголовок №4"/>
    <w:basedOn w:val="a"/>
    <w:link w:val="4"/>
    <w:uiPriority w:val="99"/>
    <w:rsid w:val="00734DDA"/>
    <w:pPr>
      <w:widowControl w:val="0"/>
      <w:shd w:val="clear" w:color="auto" w:fill="FFFFFF"/>
      <w:spacing w:before="240" w:line="270" w:lineRule="exact"/>
      <w:jc w:val="center"/>
      <w:outlineLvl w:val="3"/>
    </w:pPr>
    <w:rPr>
      <w:b/>
      <w:bCs/>
    </w:rPr>
  </w:style>
  <w:style w:type="paragraph" w:styleId="a7">
    <w:name w:val="Normal (Web)"/>
    <w:basedOn w:val="a"/>
    <w:uiPriority w:val="99"/>
    <w:semiHidden/>
    <w:unhideWhenUsed/>
    <w:rsid w:val="00734DDA"/>
    <w:pPr>
      <w:spacing w:line="300" w:lineRule="atLeast"/>
    </w:pPr>
    <w:rPr>
      <w:rFonts w:ascii="Tahoma" w:hAnsi="Tahoma" w:cs="Tahoma"/>
      <w:color w:val="292929"/>
      <w:sz w:val="18"/>
      <w:szCs w:val="18"/>
    </w:rPr>
  </w:style>
  <w:style w:type="paragraph" w:styleId="a8">
    <w:name w:val="No Spacing"/>
    <w:uiPriority w:val="1"/>
    <w:qFormat/>
    <w:rsid w:val="00AB280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123</TotalTime>
  <Pages>6</Pages>
  <Words>1863</Words>
  <Characters>14144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Калевальского района</dc:creator>
  <cp:lastModifiedBy>Work</cp:lastModifiedBy>
  <cp:revision>9</cp:revision>
  <cp:lastPrinted>2023-02-22T07:39:00Z</cp:lastPrinted>
  <dcterms:created xsi:type="dcterms:W3CDTF">2022-11-30T13:38:00Z</dcterms:created>
  <dcterms:modified xsi:type="dcterms:W3CDTF">2023-02-22T08:49:00Z</dcterms:modified>
</cp:coreProperties>
</file>